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379</w:t>
      </w:r>
    </w:p>
    <w:p>
      <w:r>
        <w:t>Bundesgericht (BGE), 1998-01-01, FR</w:t>
      </w:r>
    </w:p>
    <w:p>
      <w:r>
        <w:rPr>
          <w:b/>
        </w:rPr>
        <w:t xml:space="preserve">Quelle: </w:t>
      </w:r>
      <w:r>
        <w:t>https://mcp.opencaselaw.ch/entscheid/bge_124 III 379</w:t>
      </w:r>
    </w:p>
    <w:p>
      <w:r>
        <w:t>FR: ATF 124 III 379</w:t>
      </w:r>
    </w:p>
    <w:p>
      <w:r>
        <w:t>IT: DTF 124 III 379</w:t>
      </w:r>
    </w:p>
    <w:p>
      <w:pPr>
        <w:pStyle w:val="Heading2"/>
      </w:pPr>
      <w:r>
        <w:t>Regeste</w:t>
      </w:r>
    </w:p>
    <w:p>
      <w:r>
        <w:t>Regeste Rechtsvorschlag wegen mangelnden neuen Vermögens (Art. 75 Abs. 2 SchKG und Art. 265a SchKG); Prüfungsbefugnis des Betreibungsamtes. Das Betreibungsamt prüft die Zulässigkeit eines Rechtsvorschlages nur in formeller Hinsicht. Es hat aber nicht zu prüfen, ob die Einrede mangelnden neuen Vermögens im konkreten Fall zulässig ist; denn darüber hat der Richter zu befinden (Bestätigung der Rechtsprechung).</w:t>
      </w:r>
    </w:p>
    <w:p>
      <w:pPr>
        <w:pStyle w:val="Heading2"/>
      </w:pPr>
      <w:r>
        <w:t>Erwägungen</w:t>
      </w:r>
    </w:p>
    <w:p>
      <w:r>
        <w:rPr>
          <w:b/>
        </w:rPr>
        <w:t>E. 3</w:t>
      </w:r>
    </w:p>
    <w:p>
      <w:r>
        <w:t>La recourante soutient que l'office était à même de constater que la qualité d'exciper de l' art. 265a LP devait être déniée au poursuivi et que, partant, l'office n'aurait pas dû transmettre au juge de paix une opposition manifestement irrecevable. Ce grief, ainsi que celui de déni de justice formel soulevé dans ce contexte, sont mal fondés pour deux raisons. (...) b) D'autre part, le point de vue de la recourante se heurte au texte même de l' art. 265a al. 1 LP qui prévoit que, lorsque le débiteur fait opposition en contestant son retour à meilleure fortune, l'office soumet cette opposition au juge du for de la poursuite. S'il appartient, certes, à l'office des poursuites d'examiner la recevabilité d'une telle opposition, c'est du point de vue de la forme uniquement; il vérifiera en particulier si les délais ont été respectés ou si les termes de la déclaration correspondent réellement à une opposition, sa décision à ce sujet pouvant faire l'objet d'une plainte de la part du débiteur ou du créancier dans les dix jours dès le moment BGE 124 III 379 S. 381 où ils en ont eu connaissance ( ATF 91 III 1 consid. 1 p. 4; JAEGER/WALDER/KULL/KOTTMANN, SchKG, 4e éd., n. 9 ad art. 74; GILLIÉRON, Poursuite pour dettes, faillite et concordat, 3e éd., Lausanne 1993, p. 136 § 7; AMONN/GASSER, Grundriss des Schuldbetreibungs- und Konkursrechts, 6e éd., Berne 1997, § 18 n. 26 s.). En revanche, l'office n'a pas à vérifier si l'exception de non-retour à meilleure fortune est somme toute recevable dans le cas concret, notamment parce que, comme en l'espèce, la faillite du débiteur a été suspendue faute d'actif ( art. 230 LP ); seul le juge peut en décider ( ATF 108 III 6 consid. 2; ATF 59 III 126 , BlSchK 55/1991, p. 103). Cette jurisprudence, à laquelle la recourante se borne à opposer un arrêt plus ancien ( ATF 36 I 320 ) ou traitant d'une autre question ( ATF 119 III 117 ), doit être confirmée au regard du texte clair de l' art. 265a al. 1 LP . Elle trouve d'ailleurs appui dans la doctrine récente (BEAT GUT/FELIX RAJOWER/BRIGITTA SONNENMOSER, Rechtsvorschlag mangels neuen Vermögens, in: PJA 5/1998, p. 531 ch. 2a; voir cependant l'avis divergent de FRITZSCHE/WALDER, Schuldbetreibung und Konkurs nach schweizerischem Recht, vol. II, 3e éd., Zurich 1993, § 53 n. 16 p. 393 et l'opinion opposée de NICOLAS JEANDIN, Actes de défaut de biens et retour à meilleure fortune selon le nouveau droit, in SJ 1997, p. 290). L'avis de FRITZSCHE/WALDER a toutefois été donné sous l'empire de l'ancien droit; quant à l'opinion contraire de JEANDIN, dictée par des soucis d'économie de procédure ou de prévention d'abus, elle ne trouve de fondement ni dans les travaux préparatoires (cf. en particulier le Message concernant la révision de la LP, du 8 mai 1991, p. 183), ni dans le texte légal adopté, lequel commande impérativement à l'office saisi d'une opposition de la soumettre sans autre au juge ( art. 265a al. 1 LP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